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49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7"/>
        <w:gridCol w:w="1971"/>
      </w:tblGrid>
      <w:tr>
        <w:trPr>
          <w:trHeight w:val="475" w:hRule="atLeast"/>
        </w:trPr>
        <w:tc>
          <w:tcPr>
            <w:tcW w:w="8467" w:type="dxa"/>
            <w:tcBorders/>
            <w:shd w:fill="943634" w:val="clear"/>
            <w:vAlign w:val="center"/>
          </w:tcPr>
          <w:p>
            <w:pPr>
              <w:pStyle w:val="Intestazione"/>
              <w:jc w:val="center"/>
              <w:rPr>
                <w:rFonts w:ascii="Century Schoolbook" w:hAnsi="Century Schoolbook" w:eastAsia="Century Schoolbook" w:cs="Century Schoolbook"/>
                <w:b/>
                <w:b/>
                <w:i/>
                <w:i/>
                <w:shadow/>
                <w:color w:val="FFFFFF"/>
                <w:sz w:val="48"/>
                <w:vertAlign w:val="superscript"/>
              </w:rPr>
            </w:pPr>
            <w:r>
              <mc:AlternateContent>
                <mc:Choice Requires="wpg">
                  <w:drawing>
                    <wp:anchor behindDoc="0" distT="0" distB="0" distL="114935" distR="114935" simplePos="0" locked="0" layoutInCell="1" allowOverlap="1" relativeHeight="2">
                      <wp:simplePos x="0" y="0"/>
                      <wp:positionH relativeFrom="margin">
                        <wp:posOffset>1737360</wp:posOffset>
                      </wp:positionH>
                      <wp:positionV relativeFrom="margin">
                        <wp:posOffset>0</wp:posOffset>
                      </wp:positionV>
                      <wp:extent cx="1431925" cy="606425"/>
                      <wp:effectExtent l="0" t="0" r="0" b="0"/>
                      <wp:wrapSquare wrapText="bothSides"/>
                      <wp:docPr id="1" name="Forma1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31360" cy="605880"/>
                              </a:xfrm>
                            </wpg:grpSpPr>
                            <wps:wsp>
                              <wps:cNvSpPr/>
                              <wps:nvSpPr>
                                <wps:cNvPr id="0" name=""/>
                                <wps:cNvSpPr/>
                              </wps:nvSpPr>
                              <wps:spPr>
                                <a:xfrm>
                                  <a:off x="0" y="0"/>
                                  <a:ext cx="1431360" cy="605880"/>
                                </a:xfrm>
                                <a:prstGeom prst="rect">
                                  <a:avLst/>
                                </a:prstGeom>
                                <a:gradFill rotWithShape="0">
                                  <a:gsLst>
                                    <a:gs pos="0">
                                      <a:srgbClr val="205867"/>
                                    </a:gs>
                                    <a:gs pos="100000">
                                      <a:srgbClr val="d1dcdf"/>
                                    </a:gs>
                                  </a:gsLst>
                                  <a:path path="rect">
                                    <a:fillToRect l="50000" t="50000" r="50000" b="50000"/>
                                  </a:path>
                                </a:gra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 txBox="1"/>
                              <wps:spPr>
                                <a:xfrm>
                                  <a:off x="154440" y="74160"/>
                                  <a:ext cx="652320" cy="399240"/>
                                </a:xfrm>
                                <a:prstGeom prst="rect">
                                  <a:avLst/>
                                </a:prstGeom>
                              </wps:spPr>
                              <wps:txbx>
                                <w:txbxContent>
                                  <w:p>
                                    <w:pPr>
                                      <w:overflowPunct w:val="true"/>
                                      <w:autoSpaceDE w:val="true"/>
                                      <w:bidi w:val="0"/>
                                      <w:rPr/>
                                    </w:pPr>
                                    <w:r>
                                      <w:rPr>
                                        <w:sz w:val="24"/>
                                        <w:kern w:val="2"/>
                                        <w:szCs w:val="24"/>
                                        <w:w w:val="80"/>
                                        <w:b w:val="false"/>
                                        <w:i w:val="false"/>
                                        <w:spacing w:val="1"/>
                                        <w:rFonts w:ascii="Impact" w:hAnsi="Impact" w:eastAsia="Impact" w:cs="Impact"/>
                                        <w:lang w:eastAsia="zh-CN" w:bidi="hi-IN"/>
                                      </w:rPr>
                                      <w:t>Ambito</w:t>
                                    </w:r>
                                  </w:p>
                                </w:txbxContent>
                              </wps:txbx>
                              <wps:bodyPr wrap="none" lIns="158760" rIns="158760" tIns="82440" bIns="82440" anchorCtr="1">
                                <a:prstTxWarp prst="textDoubleWave1">
                                  <a:avLst>
                                    <a:gd name="adj1" fmla="val 6481"/>
                                    <a:gd name="adj2" fmla="val 0"/>
                                  </a:avLst>
                                </a:prstTxWarp>
                                <a:noAutofit/>
                              </wps:bodyPr>
                            </wps:wsp>
                            <wps:wsp>
                              <wps:cNvSpPr/>
                              <wps:spPr>
                                <a:xfrm>
                                  <a:off x="758880" y="102240"/>
                                  <a:ext cx="331560" cy="503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420" h="2488">
                                      <a:moveTo>
                                        <a:pt x="633" y="192"/>
                                      </a:moveTo>
                                      <a:cubicBezTo>
                                        <a:pt x="808" y="0"/>
                                        <a:pt x="1268" y="790"/>
                                        <a:pt x="1283" y="1012"/>
                                      </a:cubicBezTo>
                                      <a:cubicBezTo>
                                        <a:pt x="1298" y="1234"/>
                                        <a:pt x="820" y="1459"/>
                                        <a:pt x="723" y="1522"/>
                                      </a:cubicBezTo>
                                      <a:cubicBezTo>
                                        <a:pt x="626" y="1585"/>
                                        <a:pt x="601" y="1294"/>
                                        <a:pt x="703" y="1392"/>
                                      </a:cubicBezTo>
                                      <a:cubicBezTo>
                                        <a:pt x="805" y="1490"/>
                                        <a:pt x="1420" y="1990"/>
                                        <a:pt x="1333" y="2109"/>
                                      </a:cubicBezTo>
                                      <a:cubicBezTo>
                                        <a:pt x="1246" y="2228"/>
                                        <a:pt x="366" y="2100"/>
                                        <a:pt x="183" y="2109"/>
                                      </a:cubicBezTo>
                                      <a:cubicBezTo>
                                        <a:pt x="0" y="2118"/>
                                        <a:pt x="158" y="2488"/>
                                        <a:pt x="233" y="2162"/>
                                      </a:cubicBezTo>
                                      <a:cubicBezTo>
                                        <a:pt x="308" y="1836"/>
                                        <a:pt x="458" y="384"/>
                                        <a:pt x="633" y="19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3f3151"/>
                                    </a:gs>
                                    <a:gs pos="100000">
                                      <a:srgbClr val="8064a2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365f91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1064880" y="27360"/>
                                  <a:ext cx="109800" cy="45864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529" h="2339">
                                      <a:moveTo>
                                        <a:pt x="57" y="771"/>
                                      </a:moveTo>
                                      <a:cubicBezTo>
                                        <a:pt x="77" y="753"/>
                                        <a:pt x="485" y="0"/>
                                        <a:pt x="507" y="211"/>
                                      </a:cubicBezTo>
                                      <a:cubicBezTo>
                                        <a:pt x="529" y="422"/>
                                        <a:pt x="225" y="1731"/>
                                        <a:pt x="187" y="2035"/>
                                      </a:cubicBezTo>
                                      <a:cubicBezTo>
                                        <a:pt x="149" y="2339"/>
                                        <a:pt x="310" y="2035"/>
                                        <a:pt x="282" y="2035"/>
                                      </a:cubicBezTo>
                                      <a:cubicBezTo>
                                        <a:pt x="254" y="2035"/>
                                        <a:pt x="0" y="2321"/>
                                        <a:pt x="17" y="2035"/>
                                      </a:cubicBezTo>
                                      <a:cubicBezTo>
                                        <a:pt x="34" y="1749"/>
                                        <a:pt x="385" y="537"/>
                                        <a:pt x="387" y="321"/>
                                      </a:cubicBezTo>
                                      <a:cubicBezTo>
                                        <a:pt x="389" y="105"/>
                                        <a:pt x="37" y="789"/>
                                        <a:pt x="57" y="77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622423"/>
                                    </a:gs>
                                    <a:gs pos="100000">
                                      <a:srgbClr val="c0504d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e5b8b7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851400" y="505440"/>
                                  <a:ext cx="354240" cy="56520"/>
                                </a:xfrm>
                                <a:custGeom>
                                  <a:avLst/>
                                  <a:gdLst/>
                                  <a:ahLst/>
                                  <a:rect l="l" t="t" r="r" b="b"/>
                                  <a:pathLst>
                                    <a:path w="1922" h="680">
                                      <a:moveTo>
                                        <a:pt x="24" y="617"/>
                                      </a:moveTo>
                                      <a:cubicBezTo>
                                        <a:pt x="0" y="680"/>
                                        <a:pt x="1250" y="514"/>
                                        <a:pt x="1524" y="417"/>
                                      </a:cubicBezTo>
                                      <a:cubicBezTo>
                                        <a:pt x="1798" y="320"/>
                                        <a:pt x="1922" y="0"/>
                                        <a:pt x="1669" y="37"/>
                                      </a:cubicBezTo>
                                      <a:cubicBezTo>
                                        <a:pt x="1416" y="74"/>
                                        <a:pt x="48" y="554"/>
                                        <a:pt x="24" y="617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 rotWithShape="0">
                                  <a:gsLst>
                                    <a:gs pos="0">
                                      <a:srgbClr val="4e6128"/>
                                    </a:gs>
                                    <a:gs pos="100000">
                                      <a:srgbClr val="9bbb59"/>
                                    </a:gs>
                                  </a:gsLst>
                                  <a:lin ang="13500000"/>
                                </a:gradFill>
                                <a:ln w="12600">
                                  <a:solidFill>
                                    <a:srgbClr val="f2f2f2"/>
                                  </a:solidFill>
                                  <a:round/>
                                </a:ln>
                                <a:effectLst>
                                  <a:outerShdw dist="155280" dir="2700000" blurRad="0">
                                    <a:srgbClr val="d6e3bc">
                                      <a:alpha val="50000"/>
                                    </a:srgbClr>
                                  </a:outerShdw>
                                </a:effectLst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Forma1" style="position:absolute;margin-left:136.8pt;margin-top:0pt;width:112.7pt;height:47.7pt" coordorigin="2736,0" coordsize="2254,954">
                      <v:rect id="shape_0" fillcolor="#d1dcdf" stroked="f" style="position:absolute;left:2736;top:0;width:2253;height:953;mso-wrap-style:none;v-text-anchor:middle;mso-position-horizontal-relative:margin;mso-position-vertical-relative:margin">
                        <v:fill o:detectmouseclick="t" color2="#205867"/>
                        <v:stroke color="#3465a4" joinstyle="round" endcap="flat"/>
                        <w10:wrap type="square"/>
                      </v:rect>
                      <v:rect id="shape_0" fillcolor="#009900" stroked="t" style="position:absolute;left:2979;top:117;width:1026;height:628;mso-wrap-style:none;v-text-anchor:middle;mso-position-horizontal-relative:margin;mso-position-vertical-relative:margin">
                        <v:textbox>
                          <w:txbxContent>
                            <w:p>
                              <w:pPr>
                                <w:overflowPunct w:val="true"/>
                                <w:autoSpaceDE w:val="true"/>
                                <w:bidi w:val="0"/>
                                <w:rPr/>
                              </w:pPr>
                              <w:r>
                                <w:rPr>
                                  <w:sz w:val="24"/>
                                  <w:kern w:val="2"/>
                                  <w:szCs w:val="24"/>
                                  <w:w w:val="80"/>
                                  <w:b w:val="false"/>
                                  <w:i w:val="false"/>
                                  <w:spacing w:val="1"/>
                                  <w:rFonts w:ascii="Impact" w:hAnsi="Impact" w:eastAsia="Impact" w:cs="Impact"/>
                                  <w:lang w:eastAsia="zh-CN" w:bidi="hi-IN"/>
                                </w:rPr>
                                <w:t>Ambito</w:t>
                              </w:r>
                            </w:p>
                          </w:txbxContent>
                        </v:textbox>
                        <v:path textpathok="t"/>
                        <v:textpath on="t" fitshape="t" string="Ambito" style="font-family:&quot;Impact&quot;;font-size:12pt"/>
                        <v:fill o:detectmouseclick="t" type="solid" color2="#ff66ff"/>
                        <v:stroke color="#7030a0" weight="12600" joinstyle="miter" endcap="flat"/>
                        <v:shadow on="t" obscured="f" color="#e36c0a"/>
                      </v:rect>
                      <v:shape id="shape_0" coordsize="1420,2488" path="m633,192c808,0,1268,790,1283,1012c1298,1234,820,1459,723,1522c626,1585,601,1294,703,1392c805,1490,1420,1990,1333,2109c1246,2228,366,2100,183,2109c0,2118,158,2488,233,2162c308,1836,458,384,633,192xe" fillcolor="#3f3151" stroked="t" style="position:absolute;left:3931;top:161;width:521;height:792;mso-wrap-style:none;v-text-anchor:middle;mso-position-horizontal-relative:margin;mso-position-vertical-relative:margin">
                        <v:fill o:detectmouseclick="t" color2="#8064a2"/>
                        <v:stroke color="#f2f2f2" weight="12600" joinstyle="round" endcap="flat"/>
                        <v:shadow on="t" obscured="f" color="#365f91"/>
                      </v:shape>
                      <v:shape id="shape_0" coordsize="529,2339" path="m57,771c77,753,485,0,507,211c529,422,225,1731,187,2035c149,2339,310,2035,282,2035c254,2035,0,2321,17,2035c34,1749,385,537,387,321c389,105,37,789,57,771xe" fillcolor="#622423" stroked="t" style="position:absolute;left:4413;top:43;width:172;height:721;mso-wrap-style:none;v-text-anchor:middle;mso-position-horizontal-relative:margin;mso-position-vertical-relative:margin">
                        <v:fill o:detectmouseclick="t" color2="#c0504d"/>
                        <v:stroke color="#f2f2f2" weight="12600" joinstyle="round" endcap="flat"/>
                        <v:shadow on="t" obscured="f" color="#e5b8b7"/>
                      </v:shape>
                      <v:shape id="shape_0" coordsize="1922,680" path="m24,617c0,680,1250,514,1524,417c1798,320,1922,0,1669,37c1416,74,48,554,24,617xe" fillcolor="#4e6128" stroked="t" style="position:absolute;left:4077;top:796;width:557;height:88;mso-wrap-style:none;v-text-anchor:middle;mso-position-horizontal-relative:margin;mso-position-vertical-relative:margin">
                        <v:fill o:detectmouseclick="t" color2="#9bbb59"/>
                        <v:stroke color="#f2f2f2" weight="12600" joinstyle="round" endcap="flat"/>
                        <v:shadow on="t" obscured="f" color="#d6e3bc"/>
                      </v:shape>
                    </v:group>
                  </w:pict>
                </mc:Fallback>
              </mc:AlternateContent>
            </w:r>
            <w:r>
              <w:rPr>
                <w:rFonts w:eastAsia="Century Schoolbook" w:cs="Century Schoolbook" w:ascii="Century Schoolbook" w:hAnsi="Century Schoolbook"/>
                <w:b/>
                <w:i/>
                <w:shadow/>
                <w:color w:val="FFFFFF"/>
                <w:sz w:val="48"/>
                <w:vertAlign w:val="superscript"/>
              </w:rPr>
              <w:t xml:space="preserve"> </w:t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36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36"/>
                <w:vertAlign w:val="superscript"/>
              </w:rPr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36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36"/>
                <w:vertAlign w:val="superscript"/>
              </w:rPr>
              <w:t>Comune Capofila Benevento</w:t>
            </w:r>
          </w:p>
          <w:p>
            <w:pPr>
              <w:pStyle w:val="Intestazione"/>
              <w:jc w:val="center"/>
              <w:rPr>
                <w:rFonts w:ascii="Century Schoolbook" w:hAnsi="Century Schoolbook" w:cs="Century Schoolbook"/>
                <w:b/>
                <w:b/>
                <w:i/>
                <w:i/>
                <w:shadow/>
                <w:color w:val="FFFFFF"/>
                <w:sz w:val="28"/>
                <w:vertAlign w:val="superscript"/>
              </w:rPr>
            </w:pPr>
            <w:r>
              <w:rPr>
                <w:rFonts w:cs="Century Schoolbook" w:ascii="Century Schoolbook" w:hAnsi="Century Schoolbook"/>
                <w:b/>
                <w:i/>
                <w:shadow/>
                <w:color w:val="FFFFFF"/>
                <w:sz w:val="28"/>
                <w:vertAlign w:val="superscript"/>
              </w:rPr>
              <w:t xml:space="preserve">Comuni di Apollosa, Arpaise, Benevento, Ceppaloni, San Leucio del Sannio                                            </w:t>
            </w:r>
          </w:p>
        </w:tc>
        <w:tc>
          <w:tcPr>
            <w:tcW w:w="1971" w:type="dxa"/>
            <w:tcBorders/>
            <w:shd w:fill="31849B" w:val="clear"/>
            <w:vAlign w:val="center"/>
          </w:tcPr>
          <w:p>
            <w:pPr>
              <w:pStyle w:val="Intestazione"/>
              <w:jc w:val="center"/>
              <w:rPr>
                <w:rFonts w:ascii="Lucida Handwriting" w:hAnsi="Lucida Handwriting" w:cs="Lucida Handwriting"/>
                <w:b/>
                <w:b/>
                <w:i/>
                <w:i/>
                <w:shadow/>
                <w:color w:val="FFFFFF"/>
                <w:sz w:val="32"/>
                <w:szCs w:val="32"/>
                <w:vertAlign w:val="superscript"/>
              </w:rPr>
            </w:pPr>
            <w:r>
              <w:rPr>
                <w:rFonts w:cs="Lucida Handwriting" w:ascii="Lucida Handwriting" w:hAnsi="Lucida Handwriting"/>
                <w:b/>
                <w:i/>
                <w:shadow/>
                <w:color w:val="FFFFFF"/>
                <w:sz w:val="32"/>
                <w:szCs w:val="32"/>
                <w:vertAlign w:val="superscript"/>
              </w:rPr>
              <w:t>Legge 328/2000</w:t>
            </w:r>
          </w:p>
          <w:p>
            <w:pPr>
              <w:pStyle w:val="Intestazione"/>
              <w:jc w:val="center"/>
              <w:rPr>
                <w:rFonts w:ascii="Lucida Handwriting" w:hAnsi="Lucida Handwriting" w:cs="Lucida Handwriting"/>
                <w:b/>
                <w:b/>
                <w:i/>
                <w:i/>
                <w:shadow/>
                <w:color w:val="FFFFFF"/>
                <w:sz w:val="32"/>
                <w:szCs w:val="32"/>
                <w:vertAlign w:val="superscript"/>
              </w:rPr>
            </w:pPr>
            <w:r>
              <w:rPr>
                <w:rFonts w:cs="Lucida Handwriting" w:ascii="Lucida Handwriting" w:hAnsi="Lucida Handwriting"/>
                <w:b/>
                <w:i/>
                <w:shadow/>
                <w:color w:val="FFFFFF"/>
                <w:sz w:val="32"/>
                <w:szCs w:val="32"/>
                <w:vertAlign w:val="superscript"/>
              </w:rPr>
              <w:t>L.R. 11/2007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10894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3"/>
        <w:gridCol w:w="5241"/>
      </w:tblGrid>
      <w:tr>
        <w:trPr>
          <w:trHeight w:val="313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apollosa@pec.cstsannio.it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APOLLOSA</w:t>
            </w:r>
          </w:p>
        </w:tc>
      </w:tr>
      <w:tr>
        <w:trPr>
          <w:trHeight w:val="313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comunearpaise@asmepec.it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ARPAISE</w:t>
            </w:r>
          </w:p>
        </w:tc>
      </w:tr>
      <w:tr>
        <w:trPr>
          <w:trHeight w:val="313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protocollo.ceppaloni@asmepec.it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CEPPALONI</w:t>
            </w:r>
          </w:p>
        </w:tc>
      </w:tr>
      <w:tr>
        <w:trPr>
          <w:trHeight w:val="642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protocollogenerale.sanleuciodelsannio@asmepec.it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SINDACO DEL COMUNE DI SAN LEUCIO DEL SANNIO</w:t>
            </w:r>
          </w:p>
        </w:tc>
      </w:tr>
      <w:tr>
        <w:trPr>
          <w:trHeight w:val="313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direzione.generale@pec.aslbenevento.it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DIRETTORE GENERALE ASL BN</w:t>
            </w:r>
          </w:p>
        </w:tc>
      </w:tr>
      <w:tr>
        <w:trPr>
          <w:trHeight w:val="328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coordinamento.sociosanitario@pec.aslbenevento.it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napToGrid w:val="false"/>
              <w:spacing w:lineRule="auto" w:line="276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</w:r>
          </w:p>
        </w:tc>
      </w:tr>
      <w:tr>
        <w:trPr>
          <w:trHeight w:val="866" w:hRule="atLeast"/>
        </w:trPr>
        <w:tc>
          <w:tcPr>
            <w:tcW w:w="5653" w:type="dxa"/>
            <w:tcBorders/>
          </w:tcPr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Pec: direzione.distrettobn1@pec.aslbenevento.it </w:t>
            </w:r>
          </w:p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</w:t>
            </w:r>
          </w:p>
          <w:p>
            <w:pPr>
              <w:pStyle w:val="Normal"/>
              <w:spacing w:lineRule="auto" w:line="276"/>
              <w:rPr>
                <w:i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Pec: luigi.ambrosone@pec.comunebn.it</w:t>
            </w:r>
          </w:p>
        </w:tc>
        <w:tc>
          <w:tcPr>
            <w:tcW w:w="5241" w:type="dxa"/>
            <w:tcBorders/>
          </w:tcPr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 DIRETTORE DISTRETTO SANITARIO BN1</w:t>
            </w:r>
          </w:p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7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All'ASSESSORE LUIGI AMBROSONE</w:t>
            </w:r>
          </w:p>
        </w:tc>
      </w:tr>
    </w:tbl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OGGETTO: Convocazione Coordinamento Istituzionale.</w:t>
      </w:r>
    </w:p>
    <w:p>
      <w:pPr>
        <w:pStyle w:val="Normal"/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360"/>
        <w:ind w:left="0" w:right="0" w:firstLine="360"/>
        <w:jc w:val="both"/>
        <w:rPr/>
      </w:pPr>
      <w:r>
        <w:rPr>
          <w:sz w:val="24"/>
          <w:szCs w:val="24"/>
        </w:rPr>
        <w:t xml:space="preserve">Con la presente si invitano le SS.LL. alla riunione del Coordinamento Istituzionale che si terrà il giorno </w:t>
      </w:r>
      <w:r>
        <w:rPr>
          <w:b/>
          <w:sz w:val="24"/>
          <w:szCs w:val="24"/>
        </w:rPr>
        <w:t xml:space="preserve">12 Ottobre 2020 </w:t>
      </w:r>
      <w:r>
        <w:rPr>
          <w:sz w:val="24"/>
          <w:szCs w:val="24"/>
        </w:rPr>
        <w:t xml:space="preserve">alle </w:t>
      </w:r>
      <w:r>
        <w:rPr>
          <w:b/>
          <w:sz w:val="24"/>
          <w:szCs w:val="24"/>
        </w:rPr>
        <w:t>ore 10.30,</w:t>
      </w:r>
      <w:r>
        <w:rPr>
          <w:sz w:val="24"/>
          <w:szCs w:val="24"/>
        </w:rPr>
        <w:t xml:space="preserve"> in prima convocazione, e alle </w:t>
      </w:r>
      <w:r>
        <w:rPr>
          <w:b/>
          <w:sz w:val="24"/>
          <w:szCs w:val="24"/>
        </w:rPr>
        <w:t>ore 11.00,</w:t>
      </w:r>
      <w:r>
        <w:rPr>
          <w:sz w:val="24"/>
          <w:szCs w:val="24"/>
        </w:rPr>
        <w:t xml:space="preserve"> in seconda convocazione, presso la Sala Riunioni del Settore Servizi al Cittadino del Comune di Benevento, Viale dell’Università, 10, per discutere i seguenti punti all’O.d.G.: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sz w:val="24"/>
          <w:szCs w:val="24"/>
        </w:rPr>
        <w:t xml:space="preserve">Approvazione </w:t>
      </w:r>
      <w:r>
        <w:rPr>
          <w:rFonts w:eastAsia="Garamond"/>
          <w:sz w:val="24"/>
          <w:szCs w:val="24"/>
        </w:rPr>
        <w:t>“II annualità del Piano di Zona Triennale in applicazione del IV Piano Sociale Regionale – Programmazione parziale provvisoria anno 2020";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Interventi e servizi in favore di persone in condizioni di povertà estrema e senza dimora (art. 5  Decreto Fondo Povertà 18 maggio 2018) - Decreto n. 270 del 18.07.2019. Approvazione progetto;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Approvazione proposta di programmazione Fondo nazionale per il sistema integrato di Educazione e Istruzione - Riparto anno 2019 ad opera del D.M. MIUR n. 1160 del 19/12/2019;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eastAsia="Garamond"/>
          <w:sz w:val="24"/>
          <w:szCs w:val="24"/>
        </w:rPr>
      </w:pPr>
      <w:r>
        <w:rPr>
          <w:rFonts w:eastAsia="Garamond"/>
          <w:sz w:val="24"/>
          <w:szCs w:val="24"/>
        </w:rPr>
        <w:t>Approvazione proposta di programmazione Fondo nazionale per il sistema integrato di Educazione e Istruzione - anno 2020 – Fondo programmato con deliberazione di Giunta Regionale n. 404 del 28/07/2020;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eastAsia="Garamond"/>
          <w:sz w:val="24"/>
          <w:szCs w:val="24"/>
        </w:rPr>
        <w:t>Approvazione della programmazione e della rimodulazione finanziaria delle risorse del Piano di Azione e Coesione Infanzia II Riparto, di cui al Decreto n. 628/PAC del 28 settembre 2015, successivamente integrato dal Decreto n.1577/PAC del 26 maggio 2017, sostituiti con il Decreto n. 2668/PAC del 20/12/2018 e con il Decreto n.  3596 del 24/06/2019: differimento dei termini di attuazione”;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>Varie ed eventuali.</w:t>
      </w:r>
    </w:p>
    <w:p>
      <w:pPr>
        <w:pStyle w:val="Normal"/>
        <w:spacing w:lineRule="auto" w:line="360"/>
        <w:ind w:left="0" w:right="0" w:first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Benevento, 08/10/1020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 xml:space="preserve">Il Presidente del Coordinamento Istituzionale 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>
        <w:rPr>
          <w:b/>
          <w:sz w:val="24"/>
          <w:szCs w:val="24"/>
        </w:rPr>
        <w:t>Ass. Luigi Ambrosone (delegato)</w:t>
      </w:r>
    </w:p>
    <w:p>
      <w:pPr>
        <w:pStyle w:val="Normal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sectPr>
      <w:footerReference w:type="default" r:id="rId2"/>
      <w:type w:val="nextPage"/>
      <w:pgSz w:w="12240" w:h="15840"/>
      <w:pgMar w:left="794" w:right="794" w:header="0" w:top="1134" w:footer="476" w:bottom="1134" w:gutter="0"/>
      <w:pgNumType w:fmt="decimal"/>
      <w:formProt w:val="false"/>
      <w:textDirection w:val="lrTb"/>
      <w:docGrid w:type="default" w:linePitch="14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Calibri">
    <w:charset w:val="00"/>
    <w:family w:val="swiss"/>
    <w:pitch w:val="variable"/>
  </w:font>
  <w:font w:name="Impact">
    <w:charset w:val="00"/>
    <w:family w:val="roman"/>
    <w:pitch w:val="default"/>
  </w:font>
  <w:font w:name="Century Schoolbook">
    <w:charset w:val="00"/>
    <w:family w:val="roman"/>
    <w:pitch w:val="variable"/>
  </w:font>
  <w:font w:name="Lucida Handwriting">
    <w:charset w:val="00"/>
    <w:family w:val="script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o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ito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ito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  <w:rFonts w:eastAsia="Garamond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it-IT" w:eastAsia="en-US" w:bidi="ar-SA"/>
    </w:rPr>
  </w:style>
  <w:style w:type="paragraph" w:styleId="Titolo1">
    <w:name w:val="Heading 1"/>
    <w:basedOn w:val="Normal"/>
    <w:next w:val="Normal"/>
    <w:qFormat/>
    <w:pPr>
      <w:keepNext w:val="true"/>
      <w:numPr>
        <w:ilvl w:val="0"/>
        <w:numId w:val="1"/>
      </w:numPr>
      <w:spacing w:lineRule="auto" w:line="360"/>
      <w:ind w:left="106" w:right="0" w:hanging="0"/>
      <w:jc w:val="center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b/>
      <w:bCs/>
    </w:rPr>
  </w:style>
  <w:style w:type="paragraph" w:styleId="Tito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/>
      <w:sz w:val="24"/>
      <w:szCs w:val="24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rFonts w:ascii="Times New Roman" w:hAnsi="Times New Roman" w:eastAsia="Times New Roman" w:cs="Times New Roman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>
      <w:rFonts w:ascii="Wingdings" w:hAnsi="Wingdings" w:cs="Wingdings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3">
    <w:name w:val="WW8Num1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Numerodipagina">
    <w:name w:val="Numero di pagina"/>
    <w:basedOn w:val="Carpredefinitoparagrafo"/>
    <w:rPr/>
  </w:style>
  <w:style w:type="character" w:styleId="Enfasiforte">
    <w:name w:val="Enfasi forte"/>
    <w:basedOn w:val="Carpredefinitoparagrafo"/>
    <w:qFormat/>
    <w:rPr>
      <w:b/>
      <w:bCs/>
    </w:rPr>
  </w:style>
  <w:style w:type="character" w:styleId="IntestazioneCarattere">
    <w:name w:val="Intestazione Carattere"/>
    <w:basedOn w:val="Carpredefinitoparagrafo"/>
    <w:qFormat/>
    <w:rPr>
      <w:lang w:val="en-US" w:eastAsia="en-US"/>
    </w:rPr>
  </w:style>
  <w:style w:type="character" w:styleId="CollegamentoInternet">
    <w:name w:val="Collegamento Internet"/>
    <w:basedOn w:val="Carpredefinitoparagrafo"/>
    <w:rPr>
      <w:color w:val="0000FF"/>
      <w:u w:val="single"/>
    </w:rPr>
  </w:style>
  <w:style w:type="character" w:styleId="PidipaginaCarattere">
    <w:name w:val="Piè di pagina Carattere"/>
    <w:basedOn w:val="Carpredefinitoparagrafo"/>
    <w:qFormat/>
    <w:rPr>
      <w:lang w:val="en-US" w:eastAsia="en-US"/>
    </w:rPr>
  </w:style>
  <w:style w:type="paragraph" w:styleId="Titolo">
    <w:name w:val="Titolo"/>
    <w:basedOn w:val="Normal"/>
    <w:next w:val="Corpodeltesto"/>
    <w:qFormat/>
    <w:pPr>
      <w:widowControl w:val="false"/>
      <w:spacing w:lineRule="auto" w:line="360"/>
      <w:jc w:val="center"/>
    </w:pPr>
    <w:rPr/>
  </w:style>
  <w:style w:type="paragraph" w:styleId="Corpodeltesto">
    <w:name w:val="Body Text"/>
    <w:basedOn w:val="Normal"/>
    <w:pPr>
      <w:spacing w:lineRule="auto" w:line="360"/>
      <w:jc w:val="both"/>
    </w:pPr>
    <w:rPr>
      <w:szCs w:val="20"/>
      <w:lang w:val="fr-BE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Intestazioneepidipagina">
    <w:name w:val="Intestazione e piè di pagin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Rientrocorpodeltesto">
    <w:name w:val="Body Text Indent"/>
    <w:basedOn w:val="Normal"/>
    <w:pPr>
      <w:spacing w:lineRule="auto" w:line="360"/>
      <w:ind w:left="106" w:right="0" w:hanging="0"/>
      <w:jc w:val="both"/>
    </w:pPr>
    <w:rPr/>
  </w:style>
  <w:style w:type="paragraph" w:styleId="NormaleWeb">
    <w:name w:val="Normale (Web)"/>
    <w:basedOn w:val="Normal"/>
    <w:qFormat/>
    <w:pPr>
      <w:spacing w:before="100" w:after="100"/>
    </w:pPr>
    <w:rPr/>
  </w:style>
  <w:style w:type="paragraph" w:styleId="Sottotitolo">
    <w:name w:val="Subtitle"/>
    <w:basedOn w:val="Normal"/>
    <w:next w:val="Corpodeltesto"/>
    <w:qFormat/>
    <w:pPr>
      <w:spacing w:lineRule="auto" w:line="360"/>
      <w:jc w:val="both"/>
    </w:pPr>
    <w:rPr>
      <w:b/>
      <w:bCs/>
    </w:rPr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eGiustificato">
    <w:name w:val="Normale + Giustificato"/>
    <w:basedOn w:val="Normal"/>
    <w:qFormat/>
    <w:pPr>
      <w:suppressAutoHyphens w:val="true"/>
      <w:overflowPunct w:val="true"/>
      <w:autoSpaceDE w:val="true"/>
      <w:jc w:val="both"/>
      <w:textAlignment w:val="auto"/>
    </w:pPr>
    <w:rPr>
      <w:rFonts w:ascii="Calibri" w:hAnsi="Calibri" w:cs="Tahoma"/>
      <w:sz w:val="22"/>
      <w:szCs w:val="22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27</TotalTime>
  <Application>LibreOffice/7.1.1.2$Windows_X86_64 LibreOffice_project/fe0b08f4af1bacafe4c7ecc87ce55bb426164676</Application>
  <AppVersion>15.0000</AppVersion>
  <Pages>2</Pages>
  <Words>316</Words>
  <Characters>2045</Characters>
  <CharactersWithSpaces>2651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2019-04-12T12:52:00Z</dcterms:created>
  <dc:creator>Marcantonio</dc:creator>
  <dc:description/>
  <cp:keywords> </cp:keywords>
  <dc:language>en-US</dc:language>
  <cp:lastModifiedBy>liviero.raffaella</cp:lastModifiedBy>
  <cp:lastPrinted>2019-04-16T11:12:00Z</cp:lastPrinted>
  <dcterms:modified xsi:type="dcterms:W3CDTF">2020-10-08T09:13:00Z</dcterms:modified>
  <cp:revision>19</cp:revision>
  <dc:subject/>
  <dc:title>CONTRATTO DI COLLABORAZIONE</dc:title>
</cp:coreProperties>
</file>